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4E9" w14:textId="77777777" w:rsidR="00B0584E" w:rsidRDefault="00B0584E">
      <w:pPr>
        <w:pStyle w:val="Standard"/>
      </w:pPr>
    </w:p>
    <w:p w14:paraId="329FC0D8" w14:textId="77777777" w:rsidR="00B0584E" w:rsidRDefault="00C62401">
      <w:pPr>
        <w:pStyle w:val="Standard"/>
      </w:pPr>
      <w:r>
        <w:rPr>
          <w:b/>
          <w:bCs/>
        </w:rPr>
        <w:t xml:space="preserve">Názov : </w:t>
      </w:r>
      <w:r>
        <w:t xml:space="preserve">   </w:t>
      </w:r>
      <w:r>
        <w:tab/>
      </w:r>
      <w:r>
        <w:rPr>
          <w:b/>
          <w:bCs/>
        </w:rPr>
        <w:t>Zásady odmeňovania poslancov Miestneho zastupiteľstva mestskej časti</w:t>
      </w:r>
    </w:p>
    <w:p w14:paraId="35B5DBE9" w14:textId="77777777" w:rsidR="00B0584E" w:rsidRDefault="00C62401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  <w:t xml:space="preserve">Košice-Staré Mesto </w:t>
      </w:r>
      <w:r>
        <w:rPr>
          <w:i/>
          <w:iCs/>
        </w:rPr>
        <w:t>(úplné znenie)</w:t>
      </w:r>
    </w:p>
    <w:p w14:paraId="1CC25163" w14:textId="77777777" w:rsidR="00B0584E" w:rsidRDefault="00C62401">
      <w:pPr>
        <w:pStyle w:val="Standard"/>
      </w:pPr>
      <w:r>
        <w:rPr>
          <w:b/>
        </w:rPr>
        <w:t xml:space="preserve">Schválil: </w:t>
      </w:r>
      <w:r>
        <w:rPr>
          <w:b/>
        </w:rPr>
        <w:tab/>
      </w:r>
      <w:r>
        <w:t>Miestne zastupiteľstvo mestskej časti Košice-Staré Mesto</w:t>
      </w:r>
    </w:p>
    <w:p w14:paraId="65B91156" w14:textId="77777777" w:rsidR="00B0584E" w:rsidRDefault="00B0584E">
      <w:pPr>
        <w:pStyle w:val="Standard"/>
        <w:ind w:left="1410" w:hanging="1410"/>
      </w:pPr>
    </w:p>
    <w:p w14:paraId="07DB104C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7A0CF757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5E79CC99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01AAFD80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17CBCAE7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0033CAA1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5DF12A46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07EFAA95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106FCE41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2C4848F7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6C23EBCB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3919B033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29896C45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180B6172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07A605BE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07370DC3" w14:textId="77777777" w:rsidR="00B0584E" w:rsidRDefault="00B0584E">
      <w:pPr>
        <w:pStyle w:val="Standard"/>
        <w:ind w:left="1410" w:hanging="1410"/>
        <w:jc w:val="center"/>
        <w:rPr>
          <w:b/>
          <w:bCs/>
        </w:rPr>
      </w:pPr>
    </w:p>
    <w:p w14:paraId="6617AD1B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3558D8A6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2C7C2B1A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328E5345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191D5B34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1640AB44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49F70D38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25C2FC0E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444C6F57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435836AB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2A3624B3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7A2AB40D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534A4C6F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646325F3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4AB3BD22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6C6BA3BB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787529BA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41CEBAE2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32E442C0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79E180A2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5B10D297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2F6BE1EB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58C6BFE6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5BBCB7FD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71EB5227" w14:textId="77777777" w:rsidR="00B0584E" w:rsidRDefault="00B0584E">
      <w:pPr>
        <w:pStyle w:val="Standard"/>
        <w:ind w:left="1410" w:hanging="1410"/>
        <w:rPr>
          <w:b/>
          <w:bCs/>
        </w:rPr>
      </w:pPr>
    </w:p>
    <w:p w14:paraId="6BBB9BED" w14:textId="77777777" w:rsidR="00B0584E" w:rsidRDefault="00C62401">
      <w:pPr>
        <w:pStyle w:val="Zkladntext"/>
        <w:spacing w:after="0" w:line="240" w:lineRule="auto"/>
        <w:ind w:left="0" w:firstLine="0"/>
        <w:jc w:val="center"/>
      </w:pPr>
      <w:r>
        <w:rPr>
          <w:b/>
        </w:rPr>
        <w:tab/>
      </w:r>
      <w:r>
        <w:rPr>
          <w:b/>
          <w:bCs/>
          <w:color w:val="000000"/>
          <w:position w:val="24"/>
        </w:rPr>
        <w:t>STAROSTA MESTSKEJ ČASTI KOŠICE-STARÉ MESTO</w:t>
      </w:r>
    </w:p>
    <w:p w14:paraId="1759B362" w14:textId="77777777" w:rsidR="00B0584E" w:rsidRDefault="00C62401">
      <w:pPr>
        <w:pStyle w:val="Zkladntext"/>
        <w:spacing w:after="0" w:line="240" w:lineRule="auto"/>
        <w:ind w:left="0" w:firstLine="0"/>
        <w:jc w:val="center"/>
      </w:pPr>
      <w:r>
        <w:rPr>
          <w:color w:val="000000"/>
        </w:rPr>
        <w:t>vyhlasuje</w:t>
      </w:r>
    </w:p>
    <w:p w14:paraId="674379CF" w14:textId="77777777" w:rsidR="00B0584E" w:rsidRDefault="00B0584E">
      <w:pPr>
        <w:pStyle w:val="Zkladntext"/>
        <w:spacing w:after="0" w:line="240" w:lineRule="auto"/>
        <w:ind w:left="0" w:firstLine="0"/>
        <w:jc w:val="center"/>
        <w:rPr>
          <w:b/>
          <w:bCs/>
          <w:color w:val="000000"/>
        </w:rPr>
      </w:pPr>
    </w:p>
    <w:p w14:paraId="22A4F7C8" w14:textId="77777777" w:rsidR="00B0584E" w:rsidRDefault="00C62401">
      <w:pPr>
        <w:pStyle w:val="Textbody"/>
      </w:pPr>
      <w:r>
        <w:rPr>
          <w:color w:val="000000"/>
        </w:rPr>
        <w:t xml:space="preserve">úplné znenie Záväzného dokumentu č. 35/2015, </w:t>
      </w:r>
      <w:r>
        <w:t xml:space="preserve">Zásady odmeňovania poslancov Miestneho zastupiteľstva mestskej časti Košice-Staré Mesto schváleného </w:t>
      </w:r>
      <w:r>
        <w:rPr>
          <w:color w:val="00000A"/>
          <w:kern w:val="0"/>
          <w:lang w:eastAsia="sk-SK"/>
        </w:rPr>
        <w:t>uznesením Miestneho zastupiteľstva mestskej časti Košice-</w:t>
      </w:r>
      <w:r>
        <w:rPr>
          <w:color w:val="00000A"/>
          <w:kern w:val="0"/>
          <w:lang w:eastAsia="sk-SK"/>
        </w:rPr>
        <w:t xml:space="preserve">Staré Mesto č. 18 zo dňa 28.01.2015, ako vyplýva zo zmien </w:t>
      </w:r>
      <w:r>
        <w:t>schválených uznesením Miestneho zastupiteľstva mestskej časti Košice-Staré Mesto č. 159 zo dňa 25.05.2016 a č. 29 zo dňa 28.02.2023</w:t>
      </w:r>
    </w:p>
    <w:p w14:paraId="2DC2779E" w14:textId="77777777" w:rsidR="00B0584E" w:rsidRDefault="00C62401">
      <w:pPr>
        <w:pStyle w:val="Textbody"/>
      </w:pPr>
      <w:r>
        <w:tab/>
      </w:r>
    </w:p>
    <w:p w14:paraId="1873B893" w14:textId="77777777" w:rsidR="00B0584E" w:rsidRDefault="00C62401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Zásady odmeňovania</w:t>
      </w:r>
    </w:p>
    <w:p w14:paraId="2A7CA084" w14:textId="77777777" w:rsidR="00B0584E" w:rsidRDefault="00B0584E">
      <w:pPr>
        <w:pStyle w:val="Textbody"/>
        <w:jc w:val="center"/>
      </w:pPr>
    </w:p>
    <w:p w14:paraId="0A26BBE0" w14:textId="77777777" w:rsidR="00B0584E" w:rsidRDefault="00C62401">
      <w:pPr>
        <w:pStyle w:val="Textbody"/>
        <w:jc w:val="center"/>
        <w:rPr>
          <w:b/>
        </w:rPr>
      </w:pPr>
      <w:r>
        <w:rPr>
          <w:b/>
        </w:rPr>
        <w:t xml:space="preserve">poslancov Miestneho zastupiteľstva mestskej </w:t>
      </w:r>
      <w:r>
        <w:rPr>
          <w:b/>
        </w:rPr>
        <w:t>časti Košice-Staré Mesto</w:t>
      </w:r>
    </w:p>
    <w:p w14:paraId="0B0244A3" w14:textId="77777777" w:rsidR="00B0584E" w:rsidRDefault="00B0584E">
      <w:pPr>
        <w:pStyle w:val="Textbody"/>
        <w:jc w:val="center"/>
      </w:pPr>
    </w:p>
    <w:p w14:paraId="710FE6E5" w14:textId="77777777" w:rsidR="00B0584E" w:rsidRDefault="00C62401">
      <w:pPr>
        <w:pStyle w:val="Textbody"/>
        <w:jc w:val="center"/>
        <w:rPr>
          <w:b/>
        </w:rPr>
      </w:pPr>
      <w:r>
        <w:rPr>
          <w:b/>
        </w:rPr>
        <w:t>§ 1</w:t>
      </w:r>
    </w:p>
    <w:p w14:paraId="0A19DC8D" w14:textId="77777777" w:rsidR="00B0584E" w:rsidRDefault="00C62401">
      <w:pPr>
        <w:pStyle w:val="Textbody"/>
        <w:jc w:val="center"/>
        <w:rPr>
          <w:b/>
        </w:rPr>
      </w:pPr>
      <w:r>
        <w:rPr>
          <w:b/>
        </w:rPr>
        <w:t>Úvodné ustanovenie</w:t>
      </w:r>
    </w:p>
    <w:p w14:paraId="1D2EBC5B" w14:textId="77777777" w:rsidR="00B0584E" w:rsidRDefault="00B0584E">
      <w:pPr>
        <w:pStyle w:val="Textbody"/>
      </w:pPr>
    </w:p>
    <w:p w14:paraId="24FCAC34" w14:textId="77777777" w:rsidR="00B0584E" w:rsidRDefault="00C62401">
      <w:pPr>
        <w:pStyle w:val="Textbody"/>
      </w:pPr>
      <w:r>
        <w:tab/>
        <w:t>Zásady odmeňovania poslancov Miestneho zastupiteľstva mestskej časti Košice-Staré Mesto (ďalej len „zásady odmeňovania“) sú spracované v súlade s ustanovením § 14 ods. 4 zákona č. 401/1990 Zb. o meste Koši</w:t>
      </w:r>
      <w:r>
        <w:t>ce v znení zákona a § 25 ods. 5 a ods. 9 zákona č. 369/1990 Zb. o obecnom zriadení v znení neskorších predpisov a zákona č.663/2007 Z. z. o minimálnej mzde.</w:t>
      </w:r>
    </w:p>
    <w:p w14:paraId="0C6702C3" w14:textId="77777777" w:rsidR="00B0584E" w:rsidRDefault="00B0584E">
      <w:pPr>
        <w:pStyle w:val="Textbody"/>
      </w:pPr>
    </w:p>
    <w:p w14:paraId="66E1AB55" w14:textId="77777777" w:rsidR="00B0584E" w:rsidRDefault="00C62401">
      <w:pPr>
        <w:pStyle w:val="Textbody"/>
        <w:jc w:val="center"/>
        <w:rPr>
          <w:b/>
        </w:rPr>
      </w:pPr>
      <w:r>
        <w:rPr>
          <w:b/>
        </w:rPr>
        <w:t>§ 2</w:t>
      </w:r>
    </w:p>
    <w:p w14:paraId="7A76DA6E" w14:textId="77777777" w:rsidR="00B0584E" w:rsidRDefault="00C62401">
      <w:pPr>
        <w:pStyle w:val="Textbody"/>
        <w:jc w:val="center"/>
        <w:rPr>
          <w:b/>
        </w:rPr>
      </w:pPr>
      <w:r>
        <w:rPr>
          <w:b/>
        </w:rPr>
        <w:t>Odmeny poslancov</w:t>
      </w:r>
    </w:p>
    <w:p w14:paraId="3CA6A625" w14:textId="77777777" w:rsidR="00B0584E" w:rsidRDefault="00B0584E">
      <w:pPr>
        <w:pStyle w:val="Textbody"/>
      </w:pPr>
    </w:p>
    <w:p w14:paraId="6040C0C4" w14:textId="77777777" w:rsidR="00B0584E" w:rsidRDefault="00C62401">
      <w:pPr>
        <w:pStyle w:val="Textbody"/>
      </w:pPr>
      <w:r>
        <w:tab/>
        <w:t>1. Výška všetkých druhov odmien poslanca nesmie byť v kalendárnom roku vyšš</w:t>
      </w:r>
      <w:r>
        <w:t>ia ako 10-násobok minimálnej mesačnej mzdy ustanovenej zákonom č. 663/2007 Z. z. o minimálnej mzde</w:t>
      </w:r>
      <w:r>
        <w:rPr>
          <w:color w:val="FF3300"/>
        </w:rPr>
        <w:t xml:space="preserve"> </w:t>
      </w:r>
      <w:r>
        <w:t xml:space="preserve">a nariadenia vlády SR, ktorým sa ustanovuje suma minimálnej mzdy na budúci kalendárny rok. Výška odmien sa každoročne upraví na základe nariadenia vlády SR, </w:t>
      </w:r>
      <w:r>
        <w:t>ktorým sa ustanovuje suma minimálnej mzdy pre konkrétny kalendárny rok.</w:t>
      </w:r>
    </w:p>
    <w:p w14:paraId="2F300B8D" w14:textId="77777777" w:rsidR="00B0584E" w:rsidRDefault="00B0584E">
      <w:pPr>
        <w:pStyle w:val="Textbody"/>
      </w:pPr>
    </w:p>
    <w:p w14:paraId="6137ECB9" w14:textId="77777777" w:rsidR="00B0584E" w:rsidRDefault="00C62401">
      <w:pPr>
        <w:pStyle w:val="Textbody"/>
      </w:pPr>
      <w:r>
        <w:tab/>
        <w:t>2. Mesačná odmena poslanca sa rovná 1/12 odmeny poslanca určenej podľa ustanovenia § 2 ods. 1 týchto zásad.</w:t>
      </w:r>
    </w:p>
    <w:p w14:paraId="39816081" w14:textId="77777777" w:rsidR="00B0584E" w:rsidRDefault="00B0584E">
      <w:pPr>
        <w:pStyle w:val="Textbody"/>
        <w:jc w:val="center"/>
      </w:pPr>
    </w:p>
    <w:p w14:paraId="336012E6" w14:textId="77777777" w:rsidR="00B0584E" w:rsidRDefault="00C62401">
      <w:pPr>
        <w:pStyle w:val="Textbody"/>
        <w:jc w:val="center"/>
        <w:rPr>
          <w:b/>
        </w:rPr>
      </w:pPr>
      <w:r>
        <w:rPr>
          <w:b/>
        </w:rPr>
        <w:t>§ 3</w:t>
      </w:r>
    </w:p>
    <w:p w14:paraId="07C1D9D3" w14:textId="77777777" w:rsidR="00B0584E" w:rsidRDefault="00C62401">
      <w:pPr>
        <w:pStyle w:val="Textbody"/>
        <w:jc w:val="center"/>
        <w:rPr>
          <w:b/>
        </w:rPr>
      </w:pPr>
      <w:r>
        <w:rPr>
          <w:b/>
        </w:rPr>
        <w:t>Krátenie odmien poslancov</w:t>
      </w:r>
    </w:p>
    <w:p w14:paraId="32CE2615" w14:textId="77777777" w:rsidR="00B0584E" w:rsidRDefault="00B0584E">
      <w:pPr>
        <w:pStyle w:val="Textbody"/>
      </w:pPr>
    </w:p>
    <w:p w14:paraId="2997B079" w14:textId="77777777" w:rsidR="00B0584E" w:rsidRDefault="00C62401">
      <w:pPr>
        <w:pStyle w:val="Vfdchodzie"/>
        <w:numPr>
          <w:ilvl w:val="0"/>
          <w:numId w:val="1"/>
        </w:numPr>
        <w:tabs>
          <w:tab w:val="left" w:pos="993"/>
        </w:tabs>
        <w:suppressAutoHyphens/>
        <w:autoSpaceDE/>
        <w:ind w:left="0" w:firstLine="709"/>
        <w:jc w:val="both"/>
        <w:rPr>
          <w:lang w:val="sk-SK"/>
        </w:rPr>
      </w:pPr>
      <w:r>
        <w:rPr>
          <w:lang w:val="sk-SK"/>
        </w:rPr>
        <w:t xml:space="preserve">Ak sa poslanec nezúčastní na </w:t>
      </w:r>
      <w:r>
        <w:rPr>
          <w:lang w:val="sk-SK"/>
        </w:rPr>
        <w:t xml:space="preserve">rokovaní miestneho zastupiteľstva, odmena sa poslancovi kráti o 50% za mesiac, v ktorom zasadalo zastupiteľstvo. Poslanecká odmena sa nekráti, ak je poslanec práceneschopný a vie túto skutočnosť preukázať. Poslancovi sa kráti </w:t>
      </w:r>
      <w:r>
        <w:rPr>
          <w:lang w:val="sk-SK"/>
        </w:rPr>
        <w:lastRenderedPageBreak/>
        <w:t>odmena o 50%, ak sa na miestno</w:t>
      </w:r>
      <w:r>
        <w:rPr>
          <w:lang w:val="sk-SK"/>
        </w:rPr>
        <w:t>m zastupiteľstve nezúčastnil hlasovania vo výške nad 50% z celkového počtu hlasovaní.</w:t>
      </w:r>
    </w:p>
    <w:p w14:paraId="3B59D851" w14:textId="77777777" w:rsidR="00B0584E" w:rsidRDefault="00C62401">
      <w:pPr>
        <w:pStyle w:val="Vfdchodzie"/>
        <w:numPr>
          <w:ilvl w:val="0"/>
          <w:numId w:val="1"/>
        </w:numPr>
        <w:tabs>
          <w:tab w:val="left" w:pos="993"/>
          <w:tab w:val="left" w:pos="1278"/>
        </w:tabs>
        <w:suppressAutoHyphens/>
        <w:autoSpaceDE/>
        <w:ind w:left="0" w:firstLine="709"/>
        <w:jc w:val="both"/>
        <w:rPr>
          <w:lang w:val="sk-SK"/>
        </w:rPr>
      </w:pPr>
      <w:r>
        <w:rPr>
          <w:lang w:val="sk-SK"/>
        </w:rPr>
        <w:t xml:space="preserve">Odmena za prácu v komisii miestneho zastupiteľstva sa pri neúčasti poslanca na rokovaní komisie kráti o 25%. Poslanecká odmena sa nekráti, ak je poslanec práceneschopný </w:t>
      </w:r>
      <w:r>
        <w:rPr>
          <w:lang w:val="sk-SK"/>
        </w:rPr>
        <w:t>a vie túto skutočnosť preukázať. Ak v príslušnom mesiaci zasadá viac komisii viac krát,  tak poslanec je povinný sa zúčastniť zasadnutia jednej z komisii minimálne 1x aby sa odmena nekrátila.</w:t>
      </w:r>
    </w:p>
    <w:p w14:paraId="00CC6469" w14:textId="77777777" w:rsidR="00B0584E" w:rsidRDefault="00C62401">
      <w:pPr>
        <w:pStyle w:val="Vfdchodzie"/>
        <w:numPr>
          <w:ilvl w:val="0"/>
          <w:numId w:val="1"/>
        </w:numPr>
        <w:tabs>
          <w:tab w:val="left" w:pos="993"/>
          <w:tab w:val="left" w:pos="1278"/>
        </w:tabs>
        <w:suppressAutoHyphens/>
        <w:autoSpaceDE/>
        <w:ind w:left="0" w:firstLine="709"/>
        <w:jc w:val="both"/>
        <w:rPr>
          <w:lang w:val="sk-SK"/>
        </w:rPr>
      </w:pPr>
      <w:r>
        <w:rPr>
          <w:lang w:val="sk-SK"/>
        </w:rPr>
        <w:t>Odmena poslanca sa nekráti v prípade ospravedlnenej neúčasti na</w:t>
      </w:r>
      <w:r>
        <w:rPr>
          <w:lang w:val="sk-SK"/>
        </w:rPr>
        <w:t xml:space="preserve"> rokovaní zastupiteľstva alebo komisie miestneho zastupiteľstva z dôvodu poverenia a plnenia úloh určených miestnym zastupiteľstvom alebo komisiou. V sporných prípadoch o nekrátení Názov: Záväzný dokument č. 35/2015 Strana 3 z 3 formulár č.: F027.A odmeny </w:t>
      </w:r>
      <w:r>
        <w:rPr>
          <w:lang w:val="sk-SK"/>
        </w:rPr>
        <w:t>poslanca rozhoduje príslušná komisia, ak ide o činnosť v komisii alebo miestne zastupiteľstvo, ak ide o neúčasť na rokovaní miestneho zastupiteľstva.</w:t>
      </w:r>
    </w:p>
    <w:p w14:paraId="3C34C079" w14:textId="77777777" w:rsidR="00B0584E" w:rsidRDefault="00C62401">
      <w:pPr>
        <w:pStyle w:val="Vfdchodzie"/>
        <w:numPr>
          <w:ilvl w:val="0"/>
          <w:numId w:val="1"/>
        </w:numPr>
        <w:tabs>
          <w:tab w:val="left" w:pos="993"/>
          <w:tab w:val="left" w:pos="1278"/>
        </w:tabs>
        <w:suppressAutoHyphens/>
        <w:autoSpaceDE/>
        <w:ind w:left="0" w:firstLine="709"/>
        <w:jc w:val="both"/>
        <w:rPr>
          <w:lang w:val="sk-SK"/>
        </w:rPr>
      </w:pPr>
      <w:r>
        <w:rPr>
          <w:lang w:val="sk-SK"/>
        </w:rPr>
        <w:t>Odmena nepatrí poslancom, ktorí písomne vyhlásili, že svoj mandát budú vykonávať bez odmeny alebo ju odmi</w:t>
      </w:r>
      <w:r>
        <w:rPr>
          <w:lang w:val="sk-SK"/>
        </w:rPr>
        <w:t>etli prevziať. Písomné vyhlásenie o odmietnutí odmeny môže poslanec učiniť aj na určité obdobie, kde vo vyhlásení určí na aký mesiac, resp. mesiace nebude poberateľom odmien. Poslanec môže vyhlásením odmietnuť aj časť odmeny a to tak, že v písomnom vyhláse</w:t>
      </w:r>
      <w:r>
        <w:rPr>
          <w:lang w:val="sk-SK"/>
        </w:rPr>
        <w:t>ní oznámi koľkých % odmeny a v akom mesiaci, resp. mesiacoch nebude poberateľom odmien. Písomné vyhlásenie je poslanec povinný doručiť úradu najneskôr v posledný pracovný deň kalendárneho mesiaca (Príloha 1).</w:t>
      </w:r>
    </w:p>
    <w:p w14:paraId="4EC8C1DE" w14:textId="77777777" w:rsidR="00B0584E" w:rsidRDefault="00C62401">
      <w:pPr>
        <w:pStyle w:val="Odsekzoznamu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Ak je poslanec písomne poverený zastupovaním st</w:t>
      </w:r>
      <w:r>
        <w:t>arostu mestskej časti Košice-Staré Mesto a poberá za výkon tejto funkcie mesačný plat, alebo odmenu vo výške vyššej ako je výška poslaneckej odmeny stanovená podľa týchto zásad - poverený poslanec nemá nárok na poslaneckú odmenu.</w:t>
      </w:r>
    </w:p>
    <w:p w14:paraId="06C233C6" w14:textId="77777777" w:rsidR="00B0584E" w:rsidRDefault="00B0584E">
      <w:pPr>
        <w:pStyle w:val="Odsekzoznamu"/>
        <w:tabs>
          <w:tab w:val="left" w:pos="993"/>
        </w:tabs>
        <w:ind w:left="0" w:firstLine="709"/>
        <w:jc w:val="both"/>
      </w:pPr>
    </w:p>
    <w:p w14:paraId="6348E967" w14:textId="77777777" w:rsidR="00B0584E" w:rsidRDefault="00B0584E">
      <w:pPr>
        <w:pStyle w:val="Textbody"/>
      </w:pPr>
    </w:p>
    <w:p w14:paraId="7F2EF047" w14:textId="77777777" w:rsidR="00B0584E" w:rsidRDefault="00C62401">
      <w:pPr>
        <w:pStyle w:val="Textbody"/>
        <w:jc w:val="center"/>
        <w:rPr>
          <w:b/>
        </w:rPr>
      </w:pPr>
      <w:r>
        <w:rPr>
          <w:b/>
        </w:rPr>
        <w:t>§ 4</w:t>
      </w:r>
    </w:p>
    <w:p w14:paraId="46C4C828" w14:textId="77777777" w:rsidR="00B0584E" w:rsidRDefault="00C62401">
      <w:pPr>
        <w:pStyle w:val="Textbody"/>
        <w:jc w:val="center"/>
        <w:rPr>
          <w:b/>
        </w:rPr>
      </w:pPr>
      <w:r>
        <w:rPr>
          <w:b/>
        </w:rPr>
        <w:t>Spoločné ustanovenia</w:t>
      </w:r>
    </w:p>
    <w:p w14:paraId="063F83D2" w14:textId="77777777" w:rsidR="00B0584E" w:rsidRDefault="00B0584E">
      <w:pPr>
        <w:pStyle w:val="Textbody"/>
      </w:pPr>
    </w:p>
    <w:p w14:paraId="4DB0C83C" w14:textId="77777777" w:rsidR="00B0584E" w:rsidRDefault="00C62401">
      <w:pPr>
        <w:pStyle w:val="Textbody"/>
      </w:pPr>
      <w:r>
        <w:tab/>
        <w:t>1) Podkladom pre výplatu odmien poslancov sú prezenčné listiny.</w:t>
      </w:r>
    </w:p>
    <w:p w14:paraId="11FE8170" w14:textId="77777777" w:rsidR="00B0584E" w:rsidRDefault="00C62401">
      <w:pPr>
        <w:pStyle w:val="Textbody"/>
      </w:pPr>
      <w:r>
        <w:tab/>
        <w:t>2) Jednotlivé zložky mesačnej odmeny poslanca vrátane ich prípadného krátenia sa zaokrúhľujú na najbližšie euro cent smerom nahor.</w:t>
      </w:r>
    </w:p>
    <w:p w14:paraId="6BB85EC8" w14:textId="77777777" w:rsidR="00B0584E" w:rsidRDefault="00C62401">
      <w:pPr>
        <w:pStyle w:val="Textbody"/>
      </w:pPr>
      <w:r>
        <w:tab/>
        <w:t>3) Prepočet výšky odmien poslancov sa vykoná k 01.01. pr</w:t>
      </w:r>
      <w:r>
        <w:t>íslušného kalendárneho roka na základe výšky minimálnej mesačnej mzdy ustanovenej osobitným predpisom pre príslušný kalendárny rok. Takto stanovená výška odmien bude platná od 01.01. príslušného kalendárneho roka.</w:t>
      </w:r>
    </w:p>
    <w:p w14:paraId="1B19083C" w14:textId="77777777" w:rsidR="00B0584E" w:rsidRDefault="00C62401">
      <w:pPr>
        <w:pStyle w:val="Textbody"/>
      </w:pPr>
      <w:r>
        <w:tab/>
        <w:t>4) Odmeny poslancov sa spracovávajú mesač</w:t>
      </w:r>
      <w:r>
        <w:t>ne a vyplácajú vo výplatnom termíne Miestneho úradu mestskej časti Košice-Staré Mesto za predchádzajúci mesiac poukázaním na účet v peňažnom ústave alebo v pokladni úradu.</w:t>
      </w:r>
    </w:p>
    <w:p w14:paraId="2A5D96BA" w14:textId="77777777" w:rsidR="00B0584E" w:rsidRDefault="00C62401">
      <w:pPr>
        <w:pStyle w:val="Textbody"/>
      </w:pPr>
      <w:r>
        <w:tab/>
        <w:t>5) Odmena poslanca patrí poslancovi odo dňa zloženia sľubu poslanca na ustanovujúco</w:t>
      </w:r>
      <w:r>
        <w:t>m zasadnutí miestneho zastupiteľstva a jeho zvolenia za člena komisie zastupiteľstva do dňa ustanovujúceho zasadnutia novozvoleného miestneho zastupiteľstva.</w:t>
      </w:r>
    </w:p>
    <w:p w14:paraId="636C287F" w14:textId="77777777" w:rsidR="00B0584E" w:rsidRDefault="00B0584E">
      <w:pPr>
        <w:pStyle w:val="Textbody"/>
      </w:pPr>
    </w:p>
    <w:p w14:paraId="475A828D" w14:textId="77777777" w:rsidR="00B0584E" w:rsidRDefault="00B0584E">
      <w:pPr>
        <w:pStyle w:val="Textbody"/>
        <w:jc w:val="center"/>
        <w:rPr>
          <w:b/>
        </w:rPr>
      </w:pPr>
    </w:p>
    <w:p w14:paraId="764F4312" w14:textId="77777777" w:rsidR="00B0584E" w:rsidRDefault="00C62401">
      <w:pPr>
        <w:pStyle w:val="Textbody"/>
        <w:jc w:val="center"/>
        <w:rPr>
          <w:b/>
        </w:rPr>
      </w:pPr>
      <w:r>
        <w:rPr>
          <w:b/>
        </w:rPr>
        <w:lastRenderedPageBreak/>
        <w:t>§ 5</w:t>
      </w:r>
    </w:p>
    <w:p w14:paraId="59CD004D" w14:textId="77777777" w:rsidR="00B0584E" w:rsidRDefault="00C62401">
      <w:pPr>
        <w:pStyle w:val="Textbody"/>
        <w:jc w:val="center"/>
        <w:rPr>
          <w:b/>
        </w:rPr>
      </w:pPr>
      <w:r>
        <w:rPr>
          <w:b/>
        </w:rPr>
        <w:t>Záverečné ustanovenia</w:t>
      </w:r>
    </w:p>
    <w:p w14:paraId="28916011" w14:textId="77777777" w:rsidR="00B0584E" w:rsidRDefault="00B0584E">
      <w:pPr>
        <w:pStyle w:val="Textbody"/>
      </w:pPr>
    </w:p>
    <w:p w14:paraId="6C1F3AB3" w14:textId="77777777" w:rsidR="00B0584E" w:rsidRDefault="00C62401">
      <w:pPr>
        <w:pStyle w:val="Textbody"/>
      </w:pPr>
      <w:r>
        <w:tab/>
        <w:t xml:space="preserve">1) Rušia sa Zásady odmeňovania poslancov, zástupcu </w:t>
      </w:r>
      <w:r>
        <w:t>starostu, menovaných členov a tajomníkov komisií Miestneho zastupiteľstva mestskej časti Košice-Staré Mesto v znení neskorších doplnkov schválené uznesením miestneho zastupiteľstva č. 88 zo dňa 15.12.2011.</w:t>
      </w:r>
    </w:p>
    <w:p w14:paraId="051BCCA8" w14:textId="77777777" w:rsidR="00B0584E" w:rsidRDefault="00C62401">
      <w:pPr>
        <w:pStyle w:val="Textbody"/>
      </w:pPr>
      <w:r>
        <w:tab/>
        <w:t>2) Odmeňovací poriadok poslancov Miestneho zastup</w:t>
      </w:r>
      <w:r>
        <w:t>iteľstva mestskej časti Košice-Staré Mesto schválený uznesením Miestneho zastupiteľstva mestskej časti Košice-Staré Mesto č. 18</w:t>
      </w:r>
      <w:r>
        <w:rPr>
          <w:b/>
          <w:bCs/>
        </w:rPr>
        <w:t xml:space="preserve"> </w:t>
      </w:r>
      <w:r>
        <w:t>zo dňa 28.01.2015 nadobúda účinnosť dňom 01.02.2015.</w:t>
      </w:r>
    </w:p>
    <w:p w14:paraId="1687049A" w14:textId="77777777" w:rsidR="00B0584E" w:rsidRDefault="00C62401">
      <w:pPr>
        <w:pStyle w:val="Textbody"/>
      </w:pPr>
      <w:r>
        <w:tab/>
        <w:t>3) Zmena odmeňovacieho poriadku schválená uznesením Miestneho zastupiteľst</w:t>
      </w:r>
      <w:r>
        <w:t>va mestskej časti Košice-Staré Mesto č. 159 zo dňa 25.05.2016.</w:t>
      </w:r>
    </w:p>
    <w:p w14:paraId="54C84AEE" w14:textId="77777777" w:rsidR="00B0584E" w:rsidRDefault="00C62401">
      <w:pPr>
        <w:pStyle w:val="Textbody"/>
      </w:pPr>
      <w:r>
        <w:tab/>
        <w:t>4) Zmena odmeňovacieho poriadku schválená uznesením Miestneho zastupiteľstva mestskej časti Košice-Staré Mesto č. 29 zo dňa 28.02.2023.</w:t>
      </w:r>
    </w:p>
    <w:p w14:paraId="22EF7523" w14:textId="77777777" w:rsidR="00B0584E" w:rsidRDefault="00C62401">
      <w:pPr>
        <w:pStyle w:val="Textbody"/>
      </w:pPr>
      <w:r>
        <w:tab/>
      </w:r>
    </w:p>
    <w:p w14:paraId="576D9009" w14:textId="77777777" w:rsidR="00B0584E" w:rsidRDefault="00B0584E">
      <w:pPr>
        <w:pStyle w:val="Textbody"/>
      </w:pPr>
    </w:p>
    <w:p w14:paraId="213B9EAF" w14:textId="77777777" w:rsidR="00B0584E" w:rsidRDefault="00B0584E">
      <w:pPr>
        <w:pStyle w:val="Textbody"/>
      </w:pPr>
    </w:p>
    <w:p w14:paraId="07436B41" w14:textId="77777777" w:rsidR="00B0584E" w:rsidRDefault="00B0584E">
      <w:pPr>
        <w:pStyle w:val="Textbody"/>
      </w:pPr>
    </w:p>
    <w:p w14:paraId="4076619F" w14:textId="77777777" w:rsidR="00B0584E" w:rsidRDefault="00B0584E">
      <w:pPr>
        <w:pStyle w:val="Textbody"/>
      </w:pPr>
    </w:p>
    <w:p w14:paraId="188BF5C5" w14:textId="77777777" w:rsidR="00B0584E" w:rsidRDefault="00B0584E">
      <w:pPr>
        <w:pStyle w:val="Textbody"/>
      </w:pPr>
    </w:p>
    <w:p w14:paraId="4C603459" w14:textId="388F6980" w:rsidR="00B0584E" w:rsidRDefault="00C62401">
      <w:pPr>
        <w:pStyle w:val="Textbody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Igor Petrovčik</w:t>
      </w:r>
      <w:r w:rsidR="00CB7F52">
        <w:rPr>
          <w:bCs/>
        </w:rPr>
        <w:t>, v. r.</w:t>
      </w:r>
    </w:p>
    <w:p w14:paraId="21C51380" w14:textId="77777777" w:rsidR="00B0584E" w:rsidRDefault="00C62401">
      <w:pPr>
        <w:pStyle w:val="Textbody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starosta mest</w:t>
      </w:r>
      <w:r>
        <w:t>skej časti</w:t>
      </w:r>
    </w:p>
    <w:p w14:paraId="2089CED3" w14:textId="77777777" w:rsidR="00B0584E" w:rsidRDefault="00C62401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Košice-Staré Mesto</w:t>
      </w:r>
    </w:p>
    <w:p w14:paraId="61D02667" w14:textId="77777777" w:rsidR="00B0584E" w:rsidRDefault="00B0584E">
      <w:pPr>
        <w:pStyle w:val="Textbody"/>
      </w:pPr>
    </w:p>
    <w:p w14:paraId="095E2EA3" w14:textId="77777777" w:rsidR="00B0584E" w:rsidRDefault="00B0584E">
      <w:pPr>
        <w:pStyle w:val="Textbody"/>
      </w:pPr>
    </w:p>
    <w:p w14:paraId="7D2FE84C" w14:textId="77777777" w:rsidR="00B0584E" w:rsidRDefault="00B0584E">
      <w:pPr>
        <w:pStyle w:val="Textbody"/>
      </w:pPr>
    </w:p>
    <w:p w14:paraId="31EF9795" w14:textId="77777777" w:rsidR="00B0584E" w:rsidRDefault="00B0584E">
      <w:pPr>
        <w:pStyle w:val="Textbody"/>
      </w:pPr>
    </w:p>
    <w:p w14:paraId="4F96FF3A" w14:textId="77777777" w:rsidR="00B0584E" w:rsidRDefault="00B0584E">
      <w:pPr>
        <w:pStyle w:val="Textbody"/>
      </w:pPr>
    </w:p>
    <w:p w14:paraId="6ECA3493" w14:textId="77777777" w:rsidR="00B0584E" w:rsidRDefault="00B0584E">
      <w:pPr>
        <w:pStyle w:val="Textbody"/>
      </w:pPr>
    </w:p>
    <w:p w14:paraId="5E4FE9CE" w14:textId="77777777" w:rsidR="00B0584E" w:rsidRDefault="00B0584E">
      <w:pPr>
        <w:pStyle w:val="Textbody"/>
      </w:pPr>
    </w:p>
    <w:p w14:paraId="3AC96E29" w14:textId="77777777" w:rsidR="00B0584E" w:rsidRDefault="00B0584E">
      <w:pPr>
        <w:pStyle w:val="Textbody"/>
      </w:pPr>
    </w:p>
    <w:p w14:paraId="5C93EB11" w14:textId="77777777" w:rsidR="00B0584E" w:rsidRDefault="00B0584E">
      <w:pPr>
        <w:pStyle w:val="Textbody"/>
      </w:pPr>
    </w:p>
    <w:p w14:paraId="31ADD2A7" w14:textId="77777777" w:rsidR="00B0584E" w:rsidRDefault="00B0584E">
      <w:pPr>
        <w:pStyle w:val="Textbody"/>
      </w:pPr>
    </w:p>
    <w:p w14:paraId="74772496" w14:textId="77777777" w:rsidR="00B0584E" w:rsidRDefault="00B0584E">
      <w:pPr>
        <w:pStyle w:val="Textbody"/>
      </w:pPr>
    </w:p>
    <w:p w14:paraId="19C3791E" w14:textId="77777777" w:rsidR="00B0584E" w:rsidRDefault="00B0584E">
      <w:pPr>
        <w:pStyle w:val="Textbody"/>
      </w:pPr>
    </w:p>
    <w:p w14:paraId="7B0A39A7" w14:textId="77777777" w:rsidR="00B0584E" w:rsidRDefault="00B0584E">
      <w:pPr>
        <w:pStyle w:val="Textbody"/>
      </w:pPr>
    </w:p>
    <w:p w14:paraId="5252BFFE" w14:textId="77777777" w:rsidR="00B0584E" w:rsidRDefault="00B0584E">
      <w:pPr>
        <w:pStyle w:val="Textbody"/>
      </w:pPr>
    </w:p>
    <w:p w14:paraId="4B9C44B8" w14:textId="77777777" w:rsidR="00B0584E" w:rsidRDefault="00B0584E">
      <w:pPr>
        <w:pStyle w:val="Textbody"/>
      </w:pPr>
    </w:p>
    <w:p w14:paraId="450531B1" w14:textId="77777777" w:rsidR="00B0584E" w:rsidRDefault="00B0584E">
      <w:pPr>
        <w:pStyle w:val="Textbody"/>
      </w:pPr>
    </w:p>
    <w:p w14:paraId="73502DE3" w14:textId="77777777" w:rsidR="00B0584E" w:rsidRDefault="00B0584E">
      <w:pPr>
        <w:pStyle w:val="Textbody"/>
      </w:pPr>
    </w:p>
    <w:p w14:paraId="65FD4E74" w14:textId="1CC8860A" w:rsidR="00B0584E" w:rsidRDefault="00B0584E">
      <w:pPr>
        <w:pStyle w:val="Textbody"/>
      </w:pPr>
    </w:p>
    <w:p w14:paraId="53CAFD95" w14:textId="2D6F0FB4" w:rsidR="00CB7F52" w:rsidRDefault="00CB7F52">
      <w:pPr>
        <w:pStyle w:val="Textbody"/>
      </w:pPr>
    </w:p>
    <w:p w14:paraId="18BA2650" w14:textId="385C8E33" w:rsidR="00CB7F52" w:rsidRDefault="00CB7F52">
      <w:pPr>
        <w:pStyle w:val="Textbody"/>
      </w:pPr>
    </w:p>
    <w:p w14:paraId="51C80AC6" w14:textId="77777777" w:rsidR="00CB7F52" w:rsidRDefault="00CB7F52">
      <w:pPr>
        <w:pStyle w:val="Textbody"/>
      </w:pPr>
    </w:p>
    <w:p w14:paraId="41B7B50C" w14:textId="77777777" w:rsidR="00B0584E" w:rsidRDefault="00B0584E">
      <w:pPr>
        <w:pStyle w:val="Textbody"/>
      </w:pPr>
    </w:p>
    <w:p w14:paraId="3FA95F55" w14:textId="77777777" w:rsidR="00B0584E" w:rsidRDefault="00B0584E">
      <w:pPr>
        <w:pStyle w:val="Textbody"/>
      </w:pPr>
    </w:p>
    <w:p w14:paraId="5FBB0EC7" w14:textId="77777777" w:rsidR="00B0584E" w:rsidRDefault="00C62401">
      <w:pPr>
        <w:tabs>
          <w:tab w:val="left" w:pos="807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Príloha č.1 k Záväznému dokumentu MČ KE SM č. 35/2015</w:t>
      </w:r>
    </w:p>
    <w:p w14:paraId="2632CC66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05D8324F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520EBE97" w14:textId="77777777" w:rsidR="00B0584E" w:rsidRDefault="00B0584E">
      <w:pPr>
        <w:tabs>
          <w:tab w:val="left" w:pos="80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B2820C" w14:textId="77777777" w:rsidR="00B0584E" w:rsidRDefault="00C62401">
      <w:pPr>
        <w:tabs>
          <w:tab w:val="left" w:pos="80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Vyhlásenie poslanca k vyplácaniu odmien</w:t>
      </w:r>
    </w:p>
    <w:p w14:paraId="4D33BC02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54C074AA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764872B9" w14:textId="77777777" w:rsidR="00B0584E" w:rsidRDefault="00C62401">
      <w:pPr>
        <w:tabs>
          <w:tab w:val="left" w:pos="8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Miestneho zastupiteľstva mestskej časti Košice–Staré Mesto</w:t>
      </w:r>
    </w:p>
    <w:p w14:paraId="546622A9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6D4C862F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2BC49C48" w14:textId="77777777" w:rsidR="00B0584E" w:rsidRDefault="00C62401">
      <w:pPr>
        <w:tabs>
          <w:tab w:val="left" w:pos="8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Meno, priezvisko, </w:t>
      </w:r>
      <w:r>
        <w:rPr>
          <w:rFonts w:ascii="Times New Roman" w:hAnsi="Times New Roman" w:cs="Times New Roman"/>
        </w:rPr>
        <w:t>titul.............................................................</w:t>
      </w:r>
    </w:p>
    <w:p w14:paraId="30AC3C84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5A9A5CEF" w14:textId="77777777" w:rsidR="00B0584E" w:rsidRDefault="00C62401">
      <w:pPr>
        <w:tabs>
          <w:tab w:val="left" w:pos="8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narodenia....................................</w:t>
      </w:r>
    </w:p>
    <w:p w14:paraId="6EEC1384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71B58EDC" w14:textId="77777777" w:rsidR="00B0584E" w:rsidRDefault="00C62401">
      <w:pPr>
        <w:tabs>
          <w:tab w:val="left" w:pos="8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bydliska..........................................................</w:t>
      </w:r>
    </w:p>
    <w:p w14:paraId="5D367AF1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0E17547C" w14:textId="77777777" w:rsidR="00B0584E" w:rsidRDefault="00C62401">
      <w:pPr>
        <w:tabs>
          <w:tab w:val="left" w:pos="8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Vyhlasujem, že od........................ (mesia</w:t>
      </w:r>
      <w:r>
        <w:rPr>
          <w:rFonts w:ascii="Times New Roman" w:hAnsi="Times New Roman" w:cs="Times New Roman"/>
        </w:rPr>
        <w:t>c, rok) do........................... (mesiac, rok)</w:t>
      </w:r>
    </w:p>
    <w:p w14:paraId="3010BFDC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0D9D3836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63822890" w14:textId="77777777" w:rsidR="00B0584E" w:rsidRDefault="00C62401">
      <w:pPr>
        <w:tabs>
          <w:tab w:val="left" w:pos="80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nebudem poberateľom odmien v zmysle Zásad odmeňovania poslancov Miestneho zastupiteľstva mestskej časti Košice-Staré Mesto za výkon činností súvisiacich s výkonom funkcie poslanca schválených </w:t>
      </w:r>
      <w:r>
        <w:rPr>
          <w:rFonts w:ascii="Times New Roman" w:hAnsi="Times New Roman" w:cs="Times New Roman"/>
        </w:rPr>
        <w:t>Miestnym zastupiteľstvom mestskej časti Košice-Staré Mesto.</w:t>
      </w:r>
    </w:p>
    <w:p w14:paraId="135AF7F4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23E704BD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70AD89DE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4C8F073A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26152665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146EC0DE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77E9C5C2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5E549DC2" w14:textId="77777777" w:rsidR="00B0584E" w:rsidRDefault="00B0584E">
      <w:pPr>
        <w:tabs>
          <w:tab w:val="left" w:pos="8070"/>
        </w:tabs>
        <w:rPr>
          <w:rFonts w:ascii="Times New Roman" w:hAnsi="Times New Roman" w:cs="Times New Roman"/>
        </w:rPr>
      </w:pPr>
    </w:p>
    <w:p w14:paraId="6F350619" w14:textId="77777777" w:rsidR="00B0584E" w:rsidRDefault="00C62401">
      <w:pPr>
        <w:tabs>
          <w:tab w:val="left" w:pos="8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Košiciach dňa ......................                                                         ..............................</w:t>
      </w:r>
    </w:p>
    <w:p w14:paraId="6037D921" w14:textId="77777777" w:rsidR="00B0584E" w:rsidRDefault="00C62401">
      <w:pPr>
        <w:tabs>
          <w:tab w:val="left" w:pos="80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podpis</w:t>
      </w:r>
    </w:p>
    <w:p w14:paraId="59919E21" w14:textId="77777777" w:rsidR="00B0584E" w:rsidRDefault="00B0584E">
      <w:pPr>
        <w:pStyle w:val="Textbody"/>
      </w:pPr>
    </w:p>
    <w:p w14:paraId="426C3B58" w14:textId="77777777" w:rsidR="00B0584E" w:rsidRDefault="00B0584E">
      <w:pPr>
        <w:pStyle w:val="Textbody"/>
      </w:pPr>
    </w:p>
    <w:p w14:paraId="4D2D7343" w14:textId="77777777" w:rsidR="00B0584E" w:rsidRDefault="00B0584E">
      <w:pPr>
        <w:pStyle w:val="Standard"/>
      </w:pPr>
    </w:p>
    <w:sectPr w:rsidR="00B0584E">
      <w:headerReference w:type="default" r:id="rId7"/>
      <w:footerReference w:type="default" r:id="rId8"/>
      <w:pgSz w:w="11906" w:h="16838"/>
      <w:pgMar w:top="1417" w:right="1417" w:bottom="1701" w:left="1417" w:header="708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7990" w14:textId="77777777" w:rsidR="00000000" w:rsidRDefault="00C62401">
      <w:r>
        <w:separator/>
      </w:r>
    </w:p>
  </w:endnote>
  <w:endnote w:type="continuationSeparator" w:id="0">
    <w:p w14:paraId="12EAFB28" w14:textId="77777777" w:rsidR="00000000" w:rsidRDefault="00C6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altName w:val="Cambria"/>
    <w:panose1 w:val="00000400000000000000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1" w:type="dxa"/>
      <w:tblInd w:w="1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51"/>
      <w:gridCol w:w="1398"/>
      <w:gridCol w:w="4687"/>
      <w:gridCol w:w="1415"/>
    </w:tblGrid>
    <w:tr w:rsidR="00E20F0A" w14:paraId="4A70B6C9" w14:textId="77777777">
      <w:tblPrEx>
        <w:tblCellMar>
          <w:top w:w="0" w:type="dxa"/>
          <w:bottom w:w="0" w:type="dxa"/>
        </w:tblCellMar>
      </w:tblPrEx>
      <w:trPr>
        <w:trHeight w:val="274"/>
      </w:trPr>
      <w:tc>
        <w:tcPr>
          <w:tcW w:w="155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34A564E" w14:textId="77777777" w:rsidR="00E20F0A" w:rsidRDefault="00C62401">
          <w:pPr>
            <w:pStyle w:val="Pta"/>
            <w:snapToGrid w:val="0"/>
            <w:jc w:val="right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formulár č.:</w:t>
          </w:r>
        </w:p>
      </w:tc>
      <w:tc>
        <w:tcPr>
          <w:tcW w:w="139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5DDD1D8" w14:textId="77777777" w:rsidR="00E20F0A" w:rsidRDefault="00C62401">
          <w:pPr>
            <w:pStyle w:val="Pta"/>
            <w:snapToGrid w:val="0"/>
            <w:jc w:val="both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F027.A                                                                         </w:t>
          </w:r>
        </w:p>
      </w:tc>
      <w:tc>
        <w:tcPr>
          <w:tcW w:w="4687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9C80755" w14:textId="77777777" w:rsidR="00E20F0A" w:rsidRDefault="00C62401">
          <w:pPr>
            <w:pStyle w:val="Pta"/>
            <w:snapToGrid w:val="0"/>
            <w:jc w:val="right"/>
            <w:rPr>
              <w:i/>
              <w:color w:val="808080"/>
              <w:sz w:val="18"/>
              <w:szCs w:val="18"/>
            </w:rPr>
          </w:pPr>
        </w:p>
      </w:tc>
      <w:tc>
        <w:tcPr>
          <w:tcW w:w="1415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9CE4D1B" w14:textId="77777777" w:rsidR="00E20F0A" w:rsidRDefault="00C62401">
          <w:pPr>
            <w:pStyle w:val="Pta"/>
            <w:snapToGrid w:val="0"/>
            <w:rPr>
              <w:i/>
              <w:color w:val="808080"/>
              <w:sz w:val="18"/>
              <w:szCs w:val="18"/>
            </w:rPr>
          </w:pPr>
        </w:p>
      </w:tc>
    </w:tr>
    <w:tr w:rsidR="00E20F0A" w14:paraId="31ACF276" w14:textId="77777777">
      <w:tblPrEx>
        <w:tblCellMar>
          <w:top w:w="0" w:type="dxa"/>
          <w:bottom w:w="0" w:type="dxa"/>
        </w:tblCellMar>
      </w:tblPrEx>
      <w:tc>
        <w:tcPr>
          <w:tcW w:w="155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1211CC7" w14:textId="77777777" w:rsidR="00E20F0A" w:rsidRDefault="00C62401">
          <w:pPr>
            <w:pStyle w:val="Pta"/>
            <w:snapToGrid w:val="0"/>
            <w:rPr>
              <w:i/>
              <w:color w:val="808080"/>
              <w:sz w:val="18"/>
              <w:szCs w:val="18"/>
            </w:rPr>
          </w:pPr>
        </w:p>
      </w:tc>
      <w:tc>
        <w:tcPr>
          <w:tcW w:w="139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E59DD60" w14:textId="77777777" w:rsidR="00E20F0A" w:rsidRDefault="00C62401">
          <w:pPr>
            <w:pStyle w:val="Pta"/>
            <w:snapToGrid w:val="0"/>
            <w:rPr>
              <w:i/>
              <w:color w:val="808080"/>
              <w:sz w:val="18"/>
              <w:szCs w:val="18"/>
            </w:rPr>
          </w:pPr>
        </w:p>
      </w:tc>
      <w:tc>
        <w:tcPr>
          <w:tcW w:w="4687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88E98F8" w14:textId="77777777" w:rsidR="00E20F0A" w:rsidRDefault="00C62401">
          <w:pPr>
            <w:pStyle w:val="Pta"/>
            <w:snapToGrid w:val="0"/>
            <w:jc w:val="right"/>
            <w:rPr>
              <w:i/>
              <w:color w:val="808080"/>
              <w:sz w:val="18"/>
              <w:szCs w:val="18"/>
            </w:rPr>
          </w:pPr>
        </w:p>
      </w:tc>
      <w:tc>
        <w:tcPr>
          <w:tcW w:w="141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18F4DEA" w14:textId="77777777" w:rsidR="00E20F0A" w:rsidRDefault="00C62401">
          <w:pPr>
            <w:pStyle w:val="Pta"/>
            <w:snapToGrid w:val="0"/>
            <w:rPr>
              <w:i/>
              <w:color w:val="808080"/>
              <w:sz w:val="18"/>
              <w:szCs w:val="18"/>
            </w:rPr>
          </w:pPr>
        </w:p>
      </w:tc>
    </w:tr>
  </w:tbl>
  <w:p w14:paraId="52DE5449" w14:textId="77777777" w:rsidR="00E20F0A" w:rsidRDefault="00C62401">
    <w:pPr>
      <w:pStyle w:val="Pta"/>
      <w:jc w:val="both"/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 xml:space="preserve">                                                                  </w:t>
    </w:r>
    <w:r>
      <w:rPr>
        <w:i/>
        <w:color w:val="808080"/>
        <w:sz w:val="18"/>
        <w:szCs w:val="18"/>
      </w:rPr>
      <w:tab/>
    </w:r>
    <w:r>
      <w:rPr>
        <w:i/>
        <w:color w:val="808080"/>
        <w:sz w:val="18"/>
        <w:szCs w:val="18"/>
      </w:rPr>
      <w:tab/>
    </w:r>
    <w:r>
      <w:rPr>
        <w:i/>
        <w:color w:val="808080"/>
        <w:sz w:val="18"/>
        <w:szCs w:val="18"/>
      </w:rPr>
      <w:tab/>
    </w:r>
    <w:r>
      <w:rPr>
        <w:i/>
        <w:color w:val="808080"/>
        <w:sz w:val="18"/>
        <w:szCs w:val="18"/>
      </w:rPr>
      <w:tab/>
    </w:r>
    <w:r>
      <w:rPr>
        <w:i/>
        <w:color w:val="808080"/>
        <w:sz w:val="18"/>
        <w:szCs w:val="18"/>
      </w:rPr>
      <w:tab/>
    </w:r>
    <w:r>
      <w:rPr>
        <w:i/>
        <w:color w:val="808080"/>
        <w:sz w:val="18"/>
        <w:szCs w:val="18"/>
      </w:rPr>
      <w:tab/>
    </w:r>
    <w:r>
      <w:rPr>
        <w:i/>
        <w:color w:val="808080"/>
        <w:sz w:val="18"/>
        <w:szCs w:val="18"/>
      </w:rPr>
      <w:tab/>
    </w:r>
    <w:r>
      <w:rPr>
        <w:i/>
        <w:color w:val="808080"/>
        <w:sz w:val="18"/>
        <w:szCs w:val="18"/>
      </w:rPr>
      <w:tab/>
    </w:r>
    <w:r>
      <w:rPr>
        <w:i/>
        <w:color w:val="808080"/>
        <w:sz w:val="18"/>
        <w:szCs w:val="18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B870" w14:textId="77777777" w:rsidR="00000000" w:rsidRDefault="00C62401">
      <w:r>
        <w:rPr>
          <w:color w:val="000000"/>
        </w:rPr>
        <w:separator/>
      </w:r>
    </w:p>
  </w:footnote>
  <w:footnote w:type="continuationSeparator" w:id="0">
    <w:p w14:paraId="310020A4" w14:textId="77777777" w:rsidR="00000000" w:rsidRDefault="00C6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8876" w14:textId="77777777" w:rsidR="00E20F0A" w:rsidRDefault="00C62401">
    <w:pPr>
      <w:pStyle w:val="Standard"/>
      <w:pBdr>
        <w:bottom w:val="single" w:sz="4" w:space="1" w:color="000000"/>
      </w:pBdr>
      <w:ind w:firstLine="70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4AAED1" wp14:editId="6E2137A7">
          <wp:simplePos x="0" y="0"/>
          <wp:positionH relativeFrom="column">
            <wp:posOffset>5521320</wp:posOffset>
          </wp:positionH>
          <wp:positionV relativeFrom="paragraph">
            <wp:posOffset>-266760</wp:posOffset>
          </wp:positionV>
          <wp:extent cx="514439" cy="574560"/>
          <wp:effectExtent l="0" t="0" r="0" b="0"/>
          <wp:wrapNone/>
          <wp:docPr id="1" name="Obrázo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439" cy="574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i/>
      </w:rPr>
      <w:t>Názov: Záväzný dokument č. 35/2015</w:t>
    </w:r>
  </w:p>
  <w:p w14:paraId="1052EA7E" w14:textId="77777777" w:rsidR="00E20F0A" w:rsidRDefault="00C62401">
    <w:pPr>
      <w:pStyle w:val="Standard"/>
      <w:pBdr>
        <w:bottom w:val="single" w:sz="4" w:space="1" w:color="000000"/>
      </w:pBdr>
      <w:ind w:firstLine="708"/>
      <w:rPr>
        <w:b/>
        <w:i/>
      </w:rPr>
    </w:pPr>
  </w:p>
  <w:p w14:paraId="57FA8C29" w14:textId="77777777" w:rsidR="00E20F0A" w:rsidRDefault="00C62401">
    <w:pPr>
      <w:pStyle w:val="Hlavika"/>
      <w:jc w:val="righ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z </w:t>
    </w:r>
    <w:r>
      <w:fldChar w:fldCharType="begin"/>
    </w:r>
    <w:r>
      <w:instrText xml:space="preserve"> NUMPAGES \* ARABIC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30ABB"/>
    <w:multiLevelType w:val="multilevel"/>
    <w:tmpl w:val="9E686C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8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584E"/>
    <w:rsid w:val="00B0584E"/>
    <w:rsid w:val="00C62401"/>
    <w:rsid w:val="00C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8D37"/>
  <w15:docId w15:val="{DC037E00-D4A3-4733-B394-8AA5FE52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Zoznam">
    <w:name w:val="List"/>
    <w:basedOn w:val="Textbody"/>
    <w:rPr>
      <w:rFonts w:cs="Tahoma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pisok">
    <w:name w:val="Popisok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Hlavika">
    <w:name w:val="header"/>
    <w:basedOn w:val="Standard"/>
    <w:pPr>
      <w:tabs>
        <w:tab w:val="center" w:pos="4536"/>
        <w:tab w:val="right" w:pos="9072"/>
      </w:tabs>
    </w:pPr>
  </w:style>
  <w:style w:type="paragraph" w:styleId="Pt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Odsekzoznamu">
    <w:name w:val="List Paragraph"/>
    <w:basedOn w:val="Normlny"/>
    <w:pPr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Vfdchodzie">
    <w:name w:val="Výfdchodzie"/>
    <w:pPr>
      <w:widowControl/>
      <w:autoSpaceDE w:val="0"/>
      <w:textAlignment w:val="auto"/>
    </w:pPr>
    <w:rPr>
      <w:rFonts w:ascii="Times New Roman" w:eastAsia="Times New Roman" w:hAnsi="Times New Roman" w:cs="Times New Roman"/>
      <w:lang w:val="cs-CZ" w:eastAsia="en-US" w:bidi="ar-SA"/>
    </w:rPr>
  </w:style>
  <w:style w:type="paragraph" w:styleId="Zkladntext">
    <w:name w:val="Body Text"/>
    <w:basedOn w:val="Normlny"/>
    <w:pPr>
      <w:widowControl/>
      <w:suppressAutoHyphens w:val="0"/>
      <w:spacing w:after="140" w:line="288" w:lineRule="auto"/>
      <w:ind w:left="782" w:hanging="357"/>
      <w:jc w:val="both"/>
      <w:textAlignment w:val="auto"/>
    </w:pPr>
    <w:rPr>
      <w:rFonts w:ascii="Times New Roman" w:eastAsia="Times New Roman" w:hAnsi="Times New Roman" w:cs="Times New Roman"/>
      <w:lang w:eastAsia="cs-CZ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</w:style>
  <w:style w:type="character" w:customStyle="1" w:styleId="OdsekzoznamuChar">
    <w:name w:val="Odsek zoznamu Char"/>
    <w:basedOn w:val="Predvolenpsmoodseku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ZkladntextChar">
    <w:name w:val="Základný text Char"/>
    <w:basedOn w:val="Predvolenpsmoodseku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Schváleniu výrobku zákazníkom</dc:title>
  <dc:creator>SPC</dc:creator>
  <cp:lastModifiedBy>Mária Vidová</cp:lastModifiedBy>
  <cp:revision>2</cp:revision>
  <cp:lastPrinted>2023-03-13T12:37:00Z</cp:lastPrinted>
  <dcterms:created xsi:type="dcterms:W3CDTF">2023-03-13T12:39:00Z</dcterms:created>
  <dcterms:modified xsi:type="dcterms:W3CDTF">2023-03-13T12:39:00Z</dcterms:modified>
</cp:coreProperties>
</file>